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59" w:rsidRPr="00EC0FEF" w:rsidRDefault="00A43EEC" w:rsidP="007B71E0">
      <w:pPr>
        <w:spacing w:beforeLines="100" w:before="312" w:afterLines="50" w:after="156"/>
        <w:jc w:val="center"/>
        <w:rPr>
          <w:rFonts w:ascii="华文细黑" w:eastAsia="华文细黑" w:hAnsi="华文细黑"/>
          <w:b/>
          <w:sz w:val="40"/>
        </w:rPr>
      </w:pPr>
      <w:r w:rsidRPr="00EC0FEF">
        <w:rPr>
          <w:rFonts w:ascii="华文细黑" w:eastAsia="华文细黑" w:hAnsi="华文细黑" w:hint="eastAsia"/>
          <w:b/>
          <w:sz w:val="40"/>
        </w:rPr>
        <w:t>肿瘤免疫病理学教育部重点实验室</w:t>
      </w:r>
    </w:p>
    <w:p w:rsidR="00A43EEC" w:rsidRPr="00EC0FEF" w:rsidRDefault="00A43EEC" w:rsidP="007B71E0">
      <w:pPr>
        <w:spacing w:afterLines="150" w:after="468"/>
        <w:jc w:val="center"/>
        <w:rPr>
          <w:rFonts w:ascii="华文细黑" w:eastAsia="华文细黑" w:hAnsi="华文细黑"/>
          <w:b/>
          <w:sz w:val="40"/>
        </w:rPr>
      </w:pPr>
      <w:r w:rsidRPr="00EC0FEF">
        <w:rPr>
          <w:rFonts w:ascii="华文细黑" w:eastAsia="华文细黑" w:hAnsi="华文细黑" w:hint="eastAsia"/>
          <w:b/>
          <w:sz w:val="40"/>
        </w:rPr>
        <w:t>开放课题管理</w:t>
      </w:r>
      <w:r w:rsidR="00524275" w:rsidRPr="00EC0FEF">
        <w:rPr>
          <w:rFonts w:ascii="华文细黑" w:eastAsia="华文细黑" w:hAnsi="华文细黑" w:hint="eastAsia"/>
          <w:b/>
          <w:sz w:val="40"/>
        </w:rPr>
        <w:t>条例</w:t>
      </w:r>
    </w:p>
    <w:p w:rsidR="00A43EEC" w:rsidRPr="005C7A97" w:rsidRDefault="00A43EEC" w:rsidP="00857042">
      <w:pPr>
        <w:pStyle w:val="a3"/>
        <w:numPr>
          <w:ilvl w:val="0"/>
          <w:numId w:val="1"/>
        </w:numPr>
        <w:spacing w:line="700" w:lineRule="exact"/>
        <w:ind w:firstLineChars="0"/>
        <w:jc w:val="center"/>
        <w:rPr>
          <w:rFonts w:asciiTheme="minorEastAsia" w:hAnsiTheme="minorEastAsia"/>
          <w:b/>
          <w:sz w:val="28"/>
        </w:rPr>
      </w:pPr>
      <w:r w:rsidRPr="005C7A97">
        <w:rPr>
          <w:rFonts w:asciiTheme="minorEastAsia" w:hAnsiTheme="minorEastAsia" w:hint="eastAsia"/>
          <w:b/>
          <w:sz w:val="28"/>
        </w:rPr>
        <w:t>总 则</w:t>
      </w:r>
    </w:p>
    <w:p w:rsidR="007B0B0E" w:rsidRDefault="007B0B0E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为了规范和加强肿瘤免疫病理学教育部重点实验室开放课题（以下简称开放课题）管理，</w:t>
      </w:r>
      <w:r w:rsidRPr="005C7A97">
        <w:rPr>
          <w:rFonts w:asciiTheme="minorEastAsia" w:hAnsiTheme="minorEastAsia" w:hint="eastAsia"/>
          <w:sz w:val="28"/>
        </w:rPr>
        <w:t>实验室依据</w:t>
      </w:r>
      <w:r>
        <w:rPr>
          <w:rFonts w:asciiTheme="minorEastAsia" w:hAnsiTheme="minorEastAsia" w:hint="eastAsia"/>
          <w:sz w:val="28"/>
        </w:rPr>
        <w:t>《教育部重点实验室建设与运行管理办法》及有关文件，结合</w:t>
      </w:r>
      <w:r w:rsidRPr="005C7A97">
        <w:rPr>
          <w:rFonts w:asciiTheme="minorEastAsia" w:hAnsiTheme="minorEastAsia" w:hint="eastAsia"/>
          <w:sz w:val="28"/>
        </w:rPr>
        <w:t>开放课题管理经验，</w:t>
      </w:r>
      <w:r>
        <w:rPr>
          <w:rFonts w:asciiTheme="minorEastAsia" w:hAnsiTheme="minorEastAsia" w:hint="eastAsia"/>
          <w:sz w:val="28"/>
        </w:rPr>
        <w:t>制定本</w:t>
      </w:r>
      <w:r w:rsidR="00524275">
        <w:rPr>
          <w:rFonts w:asciiTheme="minorEastAsia" w:hAnsiTheme="minorEastAsia" w:hint="eastAsia"/>
          <w:sz w:val="28"/>
        </w:rPr>
        <w:t>条例</w:t>
      </w:r>
      <w:r w:rsidRPr="005C7A97">
        <w:rPr>
          <w:rFonts w:asciiTheme="minorEastAsia" w:hAnsiTheme="minorEastAsia" w:hint="eastAsia"/>
          <w:sz w:val="28"/>
        </w:rPr>
        <w:t>。</w:t>
      </w:r>
    </w:p>
    <w:p w:rsidR="00994916" w:rsidRDefault="00994916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 w:rsidRPr="00994916">
        <w:rPr>
          <w:rFonts w:asciiTheme="minorEastAsia" w:hAnsiTheme="minorEastAsia" w:hint="eastAsia"/>
          <w:sz w:val="28"/>
        </w:rPr>
        <w:t>肿瘤免疫病理学教育部</w:t>
      </w:r>
      <w:r w:rsidRPr="00994916">
        <w:rPr>
          <w:rFonts w:asciiTheme="minorEastAsia" w:hAnsiTheme="minorEastAsia"/>
          <w:sz w:val="28"/>
        </w:rPr>
        <w:t>重点实验室</w:t>
      </w:r>
      <w:r>
        <w:rPr>
          <w:rFonts w:asciiTheme="minorEastAsia" w:hAnsiTheme="minorEastAsia" w:hint="eastAsia"/>
          <w:sz w:val="28"/>
        </w:rPr>
        <w:t>（以下简称实验室）</w:t>
      </w:r>
      <w:r w:rsidRPr="00994916">
        <w:rPr>
          <w:rFonts w:asciiTheme="minorEastAsia" w:hAnsiTheme="minorEastAsia"/>
          <w:sz w:val="28"/>
        </w:rPr>
        <w:t>是</w:t>
      </w:r>
      <w:r w:rsidRPr="00994916">
        <w:rPr>
          <w:rFonts w:asciiTheme="minorEastAsia" w:hAnsiTheme="minorEastAsia" w:hint="eastAsia"/>
          <w:sz w:val="28"/>
        </w:rPr>
        <w:t>以“</w:t>
      </w:r>
      <w:r w:rsidRPr="00994916">
        <w:rPr>
          <w:rFonts w:asciiTheme="minorEastAsia" w:hAnsiTheme="minorEastAsia"/>
          <w:sz w:val="28"/>
        </w:rPr>
        <w:t>肿瘤干细胞</w:t>
      </w:r>
      <w:r w:rsidR="00D73A6E">
        <w:rPr>
          <w:rFonts w:asciiTheme="minorEastAsia" w:hAnsiTheme="minorEastAsia" w:hint="eastAsia"/>
          <w:sz w:val="28"/>
        </w:rPr>
        <w:t>与肿瘤微环境</w:t>
      </w:r>
      <w:r w:rsidRPr="00994916">
        <w:rPr>
          <w:rFonts w:asciiTheme="minorEastAsia" w:hAnsiTheme="minorEastAsia"/>
          <w:sz w:val="28"/>
        </w:rPr>
        <w:t>”为优势和特色</w:t>
      </w:r>
      <w:r w:rsidRPr="00994916">
        <w:rPr>
          <w:rFonts w:asciiTheme="minorEastAsia" w:hAnsiTheme="minorEastAsia" w:hint="eastAsia"/>
          <w:sz w:val="28"/>
        </w:rPr>
        <w:t>，</w:t>
      </w:r>
      <w:r w:rsidRPr="00994916">
        <w:rPr>
          <w:rFonts w:asciiTheme="minorEastAsia" w:hAnsiTheme="minorEastAsia"/>
          <w:sz w:val="28"/>
        </w:rPr>
        <w:t>开展高水平基础研究和应用基础研究的</w:t>
      </w:r>
      <w:r w:rsidRPr="00994916">
        <w:rPr>
          <w:rFonts w:asciiTheme="minorEastAsia" w:hAnsiTheme="minorEastAsia" w:hint="eastAsia"/>
          <w:sz w:val="28"/>
        </w:rPr>
        <w:t>开放性技术平台</w:t>
      </w:r>
      <w:r w:rsidRPr="00994916">
        <w:rPr>
          <w:rFonts w:asciiTheme="minorEastAsia" w:hAnsiTheme="minorEastAsia"/>
          <w:sz w:val="28"/>
        </w:rPr>
        <w:t>。为了加强</w:t>
      </w:r>
      <w:r w:rsidRPr="00994916">
        <w:rPr>
          <w:rFonts w:asciiTheme="minorEastAsia" w:hAnsiTheme="minorEastAsia" w:hint="eastAsia"/>
          <w:sz w:val="28"/>
        </w:rPr>
        <w:t>肿瘤免疫病理学</w:t>
      </w:r>
      <w:r w:rsidRPr="00994916">
        <w:rPr>
          <w:rFonts w:asciiTheme="minorEastAsia" w:hAnsiTheme="minorEastAsia"/>
          <w:sz w:val="28"/>
        </w:rPr>
        <w:t>研究领域的学术交流与合作，搭建学术交流平台，共同推动</w:t>
      </w:r>
      <w:r w:rsidRPr="00994916">
        <w:rPr>
          <w:rFonts w:asciiTheme="minorEastAsia" w:hAnsiTheme="minorEastAsia" w:hint="eastAsia"/>
          <w:sz w:val="28"/>
        </w:rPr>
        <w:t>肿瘤免疫病理学</w:t>
      </w:r>
      <w:r w:rsidRPr="00994916">
        <w:rPr>
          <w:rFonts w:asciiTheme="minorEastAsia" w:hAnsiTheme="minorEastAsia"/>
          <w:sz w:val="28"/>
        </w:rPr>
        <w:t>研究的发展，实验室开放课题基金面向全国公开招标。</w:t>
      </w:r>
    </w:p>
    <w:p w:rsidR="00C945E8" w:rsidRPr="005C7A97" w:rsidRDefault="005C7A97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 w:rsidRPr="005C7A97">
        <w:rPr>
          <w:rFonts w:asciiTheme="minorEastAsia" w:hAnsiTheme="minorEastAsia" w:hint="eastAsia"/>
          <w:sz w:val="28"/>
        </w:rPr>
        <w:t>开放课题基金应符合实验室当年发布的课题申请指南，按照“公平竞争、择优支持”的原则，向重点实验室学术委员会批准的课题提供资助。</w:t>
      </w:r>
    </w:p>
    <w:p w:rsidR="00A43EEC" w:rsidRPr="00B77351" w:rsidRDefault="00B77351" w:rsidP="00857042">
      <w:pPr>
        <w:pStyle w:val="a3"/>
        <w:numPr>
          <w:ilvl w:val="0"/>
          <w:numId w:val="1"/>
        </w:numPr>
        <w:spacing w:line="700" w:lineRule="exact"/>
        <w:ind w:firstLineChars="0"/>
        <w:jc w:val="center"/>
        <w:rPr>
          <w:rFonts w:asciiTheme="minorEastAsia" w:hAnsiTheme="minorEastAsia"/>
          <w:b/>
          <w:sz w:val="28"/>
        </w:rPr>
      </w:pPr>
      <w:r w:rsidRPr="00B77351">
        <w:rPr>
          <w:rFonts w:asciiTheme="minorEastAsia" w:hAnsiTheme="minorEastAsia" w:hint="eastAsia"/>
          <w:b/>
          <w:sz w:val="28"/>
        </w:rPr>
        <w:t>课题管理</w:t>
      </w:r>
      <w:r w:rsidR="007B0B0E">
        <w:rPr>
          <w:rFonts w:asciiTheme="minorEastAsia" w:hAnsiTheme="minorEastAsia" w:hint="eastAsia"/>
          <w:b/>
          <w:sz w:val="28"/>
        </w:rPr>
        <w:t>办法</w:t>
      </w:r>
    </w:p>
    <w:p w:rsidR="00EB792F" w:rsidRPr="00BC5244" w:rsidRDefault="00AD3212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 w:rsidRPr="00BC5244">
        <w:rPr>
          <w:rFonts w:asciiTheme="minorEastAsia" w:hAnsiTheme="minorEastAsia"/>
          <w:sz w:val="28"/>
        </w:rPr>
        <w:t>每个申请者</w:t>
      </w:r>
      <w:r w:rsidRPr="00BC5244">
        <w:rPr>
          <w:rFonts w:asciiTheme="minorEastAsia" w:hAnsiTheme="minorEastAsia" w:hint="eastAsia"/>
          <w:sz w:val="28"/>
        </w:rPr>
        <w:t>一次</w:t>
      </w:r>
      <w:r w:rsidRPr="00BC5244">
        <w:rPr>
          <w:rFonts w:asciiTheme="minorEastAsia" w:hAnsiTheme="minorEastAsia"/>
          <w:sz w:val="28"/>
        </w:rPr>
        <w:t>只能申报一个项目</w:t>
      </w:r>
      <w:r w:rsidRPr="00BC5244">
        <w:rPr>
          <w:rFonts w:asciiTheme="minorEastAsia" w:hAnsiTheme="minorEastAsia" w:hint="eastAsia"/>
          <w:sz w:val="28"/>
        </w:rPr>
        <w:t>，</w:t>
      </w:r>
      <w:r w:rsidR="00994916" w:rsidRPr="00BC5244">
        <w:rPr>
          <w:rFonts w:asciiTheme="minorEastAsia" w:hAnsiTheme="minorEastAsia" w:hint="eastAsia"/>
          <w:sz w:val="28"/>
        </w:rPr>
        <w:t>课题组参加人员不能同时参加两个以上</w:t>
      </w:r>
      <w:r w:rsidR="004D75FD" w:rsidRPr="00BC5244">
        <w:rPr>
          <w:rFonts w:asciiTheme="minorEastAsia" w:hAnsiTheme="minorEastAsia" w:hint="eastAsia"/>
          <w:sz w:val="28"/>
        </w:rPr>
        <w:t>（含两个）</w:t>
      </w:r>
      <w:r w:rsidR="00994916" w:rsidRPr="00BC5244">
        <w:rPr>
          <w:rFonts w:asciiTheme="minorEastAsia" w:hAnsiTheme="minorEastAsia" w:hint="eastAsia"/>
          <w:sz w:val="28"/>
        </w:rPr>
        <w:t>项目的申请。</w:t>
      </w:r>
      <w:r w:rsidRPr="00BC5244">
        <w:rPr>
          <w:rFonts w:asciiTheme="minorEastAsia" w:hAnsiTheme="minorEastAsia" w:hint="eastAsia"/>
          <w:sz w:val="28"/>
        </w:rPr>
        <w:t>项目申请必须征得申请人</w:t>
      </w:r>
      <w:r w:rsidRPr="00BC5244">
        <w:rPr>
          <w:rFonts w:asciiTheme="minorEastAsia" w:hAnsiTheme="minorEastAsia" w:hint="eastAsia"/>
          <w:sz w:val="28"/>
        </w:rPr>
        <w:lastRenderedPageBreak/>
        <w:t>所在单位同意并加盖公章。</w:t>
      </w:r>
      <w:r w:rsidR="00EB792F" w:rsidRPr="00BC5244">
        <w:rPr>
          <w:rFonts w:asciiTheme="minorEastAsia" w:hAnsiTheme="minorEastAsia" w:hint="eastAsia"/>
          <w:sz w:val="28"/>
        </w:rPr>
        <w:t>曾经获得过本实验室开放课题资助的研究人员，需在前一项目完成并提交结题报告后，经实验室验收合格，方可再申请新课题。</w:t>
      </w:r>
    </w:p>
    <w:p w:rsidR="00ED7B00" w:rsidRDefault="00B77351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实行年度基金，项目周期一般为1-2年，资助金额不超过5万元人民币，结题时需</w:t>
      </w:r>
      <w:r w:rsidR="004D75FD">
        <w:rPr>
          <w:rFonts w:asciiTheme="minorEastAsia" w:hAnsiTheme="minorEastAsia" w:hint="eastAsia"/>
          <w:sz w:val="28"/>
        </w:rPr>
        <w:t>有创新性产出</w:t>
      </w:r>
      <w:r>
        <w:rPr>
          <w:rFonts w:asciiTheme="minorEastAsia" w:hAnsiTheme="minorEastAsia" w:hint="eastAsia"/>
          <w:sz w:val="28"/>
        </w:rPr>
        <w:t>。</w:t>
      </w:r>
      <w:r w:rsidR="00EB792F">
        <w:rPr>
          <w:rFonts w:asciiTheme="minorEastAsia" w:hAnsiTheme="minorEastAsia" w:hint="eastAsia"/>
          <w:sz w:val="28"/>
        </w:rPr>
        <w:t>获本实验室资助的研究课题在研究工作结束时，需向实验室递交结题报告。</w:t>
      </w:r>
    </w:p>
    <w:p w:rsidR="00136103" w:rsidRPr="00AD3212" w:rsidRDefault="00136103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研究课题无法按</w:t>
      </w:r>
      <w:r w:rsidR="00BC4FEE">
        <w:rPr>
          <w:rFonts w:asciiTheme="minorEastAsia" w:hAnsiTheme="minorEastAsia" w:hint="eastAsia"/>
          <w:sz w:val="28"/>
        </w:rPr>
        <w:t>期完成，要求改变内容或中断研究，须及时向本实验室提交书面报告，由</w:t>
      </w:r>
      <w:r>
        <w:rPr>
          <w:rFonts w:asciiTheme="minorEastAsia" w:hAnsiTheme="minorEastAsia" w:hint="eastAsia"/>
          <w:sz w:val="28"/>
        </w:rPr>
        <w:t>学术委员会讨论决定修改或中断，中断课题的结余经费交还本实验室。</w:t>
      </w:r>
    </w:p>
    <w:p w:rsidR="00ED7B00" w:rsidRPr="005C7A97" w:rsidRDefault="00EB792F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课题在资助期间所</w:t>
      </w:r>
      <w:r w:rsidR="00ED7B00">
        <w:rPr>
          <w:rFonts w:asciiTheme="minorEastAsia" w:hAnsiTheme="minorEastAsia" w:hint="eastAsia"/>
          <w:sz w:val="28"/>
        </w:rPr>
        <w:t>发表</w:t>
      </w:r>
      <w:r>
        <w:rPr>
          <w:rFonts w:asciiTheme="minorEastAsia" w:hAnsiTheme="minorEastAsia" w:hint="eastAsia"/>
          <w:sz w:val="28"/>
        </w:rPr>
        <w:t>的相关学术</w:t>
      </w:r>
      <w:r w:rsidR="00ED7B00">
        <w:rPr>
          <w:rFonts w:asciiTheme="minorEastAsia" w:hAnsiTheme="minorEastAsia" w:hint="eastAsia"/>
          <w:sz w:val="28"/>
        </w:rPr>
        <w:t>论文</w:t>
      </w:r>
      <w:r w:rsidR="00AD3212">
        <w:rPr>
          <w:rFonts w:asciiTheme="minorEastAsia" w:hAnsiTheme="minorEastAsia" w:hint="eastAsia"/>
          <w:sz w:val="28"/>
        </w:rPr>
        <w:t xml:space="preserve">必须标注 </w:t>
      </w:r>
      <w:r w:rsidR="00ED7B00">
        <w:rPr>
          <w:rFonts w:asciiTheme="minorEastAsia" w:hAnsiTheme="minorEastAsia" w:hint="eastAsia"/>
          <w:sz w:val="28"/>
        </w:rPr>
        <w:t>“肿瘤免疫病理学教育部重点实验室（陆军</w:t>
      </w:r>
      <w:bookmarkStart w:id="0" w:name="_GoBack"/>
      <w:bookmarkEnd w:id="0"/>
      <w:r w:rsidR="00ED7B00">
        <w:rPr>
          <w:rFonts w:asciiTheme="minorEastAsia" w:hAnsiTheme="minorEastAsia" w:hint="eastAsia"/>
          <w:sz w:val="28"/>
        </w:rPr>
        <w:t>军医大学）”</w:t>
      </w:r>
      <w:r>
        <w:rPr>
          <w:rFonts w:asciiTheme="minorEastAsia" w:hAnsiTheme="minorEastAsia" w:hint="eastAsia"/>
          <w:sz w:val="28"/>
        </w:rPr>
        <w:t>，</w:t>
      </w:r>
      <w:r w:rsidR="00ED7B00">
        <w:rPr>
          <w:rFonts w:asciiTheme="minorEastAsia" w:hAnsiTheme="minorEastAsia" w:hint="eastAsia"/>
          <w:sz w:val="28"/>
        </w:rPr>
        <w:t>英文：</w:t>
      </w:r>
      <w:r w:rsidR="00ED7B00" w:rsidRPr="00490317">
        <w:rPr>
          <w:rFonts w:ascii="Times New Roman" w:hAnsi="Times New Roman" w:cs="Times New Roman"/>
          <w:sz w:val="28"/>
        </w:rPr>
        <w:t>Key Laboratory of Tumor Immunology and Pathology</w:t>
      </w:r>
      <w:r w:rsidRPr="00490317">
        <w:rPr>
          <w:rFonts w:ascii="Times New Roman" w:hAnsi="Times New Roman" w:cs="Times New Roman"/>
          <w:sz w:val="28"/>
        </w:rPr>
        <w:t>（</w:t>
      </w:r>
      <w:r w:rsidRPr="00490317">
        <w:rPr>
          <w:rFonts w:ascii="Times New Roman" w:hAnsi="Times New Roman" w:cs="Times New Roman"/>
          <w:sz w:val="28"/>
        </w:rPr>
        <w:t>Army Medical University</w:t>
      </w:r>
      <w:r w:rsidRPr="00490317">
        <w:rPr>
          <w:rFonts w:ascii="Times New Roman" w:hAnsi="Times New Roman" w:cs="Times New Roman"/>
          <w:sz w:val="28"/>
        </w:rPr>
        <w:t>）</w:t>
      </w:r>
      <w:r w:rsidRPr="00490317">
        <w:rPr>
          <w:rFonts w:ascii="Times New Roman" w:hAnsi="Times New Roman" w:cs="Times New Roman"/>
          <w:sz w:val="28"/>
        </w:rPr>
        <w:t xml:space="preserve">, </w:t>
      </w:r>
      <w:r w:rsidR="00ED7B00" w:rsidRPr="00490317">
        <w:rPr>
          <w:rFonts w:ascii="Times New Roman" w:hAnsi="Times New Roman" w:cs="Times New Roman"/>
          <w:sz w:val="28"/>
        </w:rPr>
        <w:t>Ministry of Education</w:t>
      </w:r>
      <w:r>
        <w:rPr>
          <w:rFonts w:asciiTheme="minorEastAsia" w:hAnsiTheme="minorEastAsia" w:hint="eastAsia"/>
          <w:sz w:val="28"/>
        </w:rPr>
        <w:t>。</w:t>
      </w:r>
    </w:p>
    <w:p w:rsidR="00AD3212" w:rsidRPr="00B77351" w:rsidRDefault="00647B09" w:rsidP="00857042">
      <w:pPr>
        <w:pStyle w:val="a3"/>
        <w:numPr>
          <w:ilvl w:val="0"/>
          <w:numId w:val="1"/>
        </w:numPr>
        <w:spacing w:line="700" w:lineRule="exact"/>
        <w:ind w:firstLineChars="0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课题经费使用管理</w:t>
      </w:r>
    </w:p>
    <w:p w:rsidR="005C7A97" w:rsidRDefault="007E57BA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课题经费在实验室内使用，各项开支标准均按照陆军军医大学第一附属医院财务制度规定执行。课题资金专款专用，课题执行期结束后，剩余经费由本实验室支配。</w:t>
      </w:r>
    </w:p>
    <w:p w:rsidR="0036358B" w:rsidRPr="004F049E" w:rsidRDefault="007E57BA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 w:rsidRPr="004F049E">
        <w:rPr>
          <w:rFonts w:asciiTheme="minorEastAsia" w:hAnsiTheme="minorEastAsia" w:hint="eastAsia"/>
          <w:sz w:val="28"/>
        </w:rPr>
        <w:t>课题经费应在满足本条例第五条</w:t>
      </w:r>
      <w:r w:rsidR="004D75FD">
        <w:rPr>
          <w:rFonts w:asciiTheme="minorEastAsia" w:hAnsiTheme="minorEastAsia" w:hint="eastAsia"/>
          <w:sz w:val="28"/>
        </w:rPr>
        <w:t>创新性产出</w:t>
      </w:r>
      <w:r w:rsidRPr="004F049E">
        <w:rPr>
          <w:rFonts w:asciiTheme="minorEastAsia" w:hAnsiTheme="minorEastAsia" w:hint="eastAsia"/>
          <w:sz w:val="28"/>
        </w:rPr>
        <w:t>要求后方可报</w:t>
      </w:r>
      <w:r w:rsidRPr="004F049E">
        <w:rPr>
          <w:rFonts w:asciiTheme="minorEastAsia" w:hAnsiTheme="minorEastAsia" w:hint="eastAsia"/>
          <w:sz w:val="28"/>
        </w:rPr>
        <w:lastRenderedPageBreak/>
        <w:t>销。</w:t>
      </w:r>
      <w:r w:rsidR="0036358B" w:rsidRPr="004F049E">
        <w:rPr>
          <w:rFonts w:asciiTheme="minorEastAsia" w:hAnsiTheme="minorEastAsia" w:hint="eastAsia"/>
          <w:sz w:val="28"/>
        </w:rPr>
        <w:t>经费开支范围：</w:t>
      </w:r>
    </w:p>
    <w:p w:rsidR="00631B36" w:rsidRDefault="004F049E" w:rsidP="00857042">
      <w:pPr>
        <w:pStyle w:val="a3"/>
        <w:spacing w:line="700" w:lineRule="exact"/>
        <w:ind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（一）</w:t>
      </w:r>
      <w:r w:rsidR="00631B36" w:rsidRPr="00631B36">
        <w:rPr>
          <w:rFonts w:asciiTheme="minorEastAsia" w:hAnsiTheme="minorEastAsia"/>
          <w:sz w:val="28"/>
        </w:rPr>
        <w:t>材料费</w:t>
      </w:r>
      <w:r w:rsidR="00B0135A">
        <w:rPr>
          <w:rFonts w:asciiTheme="minorEastAsia" w:hAnsiTheme="minorEastAsia" w:hint="eastAsia"/>
          <w:sz w:val="28"/>
        </w:rPr>
        <w:t>、</w:t>
      </w:r>
      <w:r w:rsidR="00B0135A" w:rsidRPr="00B0135A">
        <w:rPr>
          <w:rFonts w:asciiTheme="minorEastAsia" w:hAnsiTheme="minorEastAsia"/>
          <w:sz w:val="28"/>
        </w:rPr>
        <w:t>测试化验加工费</w:t>
      </w:r>
      <w:r w:rsidR="00B0135A">
        <w:rPr>
          <w:rFonts w:asciiTheme="minorEastAsia" w:hAnsiTheme="minorEastAsia" w:hint="eastAsia"/>
          <w:sz w:val="28"/>
        </w:rPr>
        <w:t>：</w:t>
      </w:r>
      <w:r w:rsidR="004D75FD" w:rsidRPr="004D75FD">
        <w:rPr>
          <w:rFonts w:asciiTheme="minorEastAsia" w:hAnsiTheme="minorEastAsia" w:hint="eastAsia"/>
          <w:sz w:val="28"/>
        </w:rPr>
        <w:t>实验所需的材料费，测试化验加工费等</w:t>
      </w:r>
      <w:r w:rsidR="00B0135A">
        <w:rPr>
          <w:rFonts w:asciiTheme="minorEastAsia" w:hAnsiTheme="minorEastAsia" w:hint="eastAsia"/>
          <w:sz w:val="28"/>
        </w:rPr>
        <w:t>。</w:t>
      </w:r>
    </w:p>
    <w:p w:rsidR="00B0135A" w:rsidRPr="00B0135A" w:rsidRDefault="004F049E" w:rsidP="00857042">
      <w:pPr>
        <w:pStyle w:val="a3"/>
        <w:spacing w:line="700" w:lineRule="exact"/>
        <w:ind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（二）</w:t>
      </w:r>
      <w:r w:rsidR="00B0135A" w:rsidRPr="00631B36">
        <w:rPr>
          <w:rFonts w:asciiTheme="minorEastAsia" w:hAnsiTheme="minorEastAsia" w:hint="eastAsia"/>
          <w:sz w:val="28"/>
        </w:rPr>
        <w:t>差旅费</w:t>
      </w:r>
      <w:r w:rsidR="00B0135A">
        <w:rPr>
          <w:rFonts w:asciiTheme="minorEastAsia" w:hAnsiTheme="minorEastAsia" w:hint="eastAsia"/>
          <w:sz w:val="28"/>
        </w:rPr>
        <w:t>：</w:t>
      </w:r>
      <w:r w:rsidR="003F4DC8" w:rsidRPr="003F4DC8">
        <w:rPr>
          <w:rFonts w:asciiTheme="minorEastAsia" w:hAnsiTheme="minorEastAsia" w:hint="eastAsia"/>
          <w:sz w:val="28"/>
        </w:rPr>
        <w:t>研究人员的差旅费，开展学术研讨、咨询等的会议费，研究人员出国及外来专家来华工作等的国际合作与交流费</w:t>
      </w:r>
      <w:r w:rsidR="009A7D12">
        <w:rPr>
          <w:rFonts w:asciiTheme="minorEastAsia" w:hAnsiTheme="minorEastAsia" w:hint="eastAsia"/>
          <w:sz w:val="28"/>
        </w:rPr>
        <w:t>。</w:t>
      </w:r>
    </w:p>
    <w:p w:rsidR="0036358B" w:rsidRDefault="004F049E" w:rsidP="00857042">
      <w:pPr>
        <w:pStyle w:val="a3"/>
        <w:spacing w:line="700" w:lineRule="exact"/>
        <w:ind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（三）</w:t>
      </w:r>
      <w:r w:rsidRPr="00B0135A">
        <w:rPr>
          <w:rFonts w:asciiTheme="minorEastAsia" w:hAnsiTheme="minorEastAsia"/>
          <w:sz w:val="28"/>
        </w:rPr>
        <w:t>出版/文献/信息传播/知识产权事务费</w:t>
      </w:r>
      <w:r w:rsidRPr="00B0135A">
        <w:rPr>
          <w:rFonts w:asciiTheme="minorEastAsia" w:hAnsiTheme="minorEastAsia" w:hint="eastAsia"/>
          <w:sz w:val="28"/>
        </w:rPr>
        <w:t>：</w:t>
      </w:r>
      <w:r w:rsidR="004D75FD" w:rsidRPr="004D75FD">
        <w:rPr>
          <w:rFonts w:asciiTheme="minorEastAsia" w:hAnsiTheme="minorEastAsia" w:hint="eastAsia"/>
          <w:sz w:val="28"/>
        </w:rPr>
        <w:t>与课题有关的出版/文献/信息传播/知识产权事务费等</w:t>
      </w:r>
      <w:r>
        <w:rPr>
          <w:rFonts w:asciiTheme="minorEastAsia" w:hAnsiTheme="minorEastAsia" w:hint="eastAsia"/>
          <w:sz w:val="28"/>
        </w:rPr>
        <w:t>。</w:t>
      </w:r>
    </w:p>
    <w:p w:rsidR="00247F98" w:rsidRPr="00B77351" w:rsidRDefault="00247F98" w:rsidP="00857042">
      <w:pPr>
        <w:pStyle w:val="a3"/>
        <w:numPr>
          <w:ilvl w:val="0"/>
          <w:numId w:val="1"/>
        </w:numPr>
        <w:spacing w:line="700" w:lineRule="exact"/>
        <w:ind w:firstLineChars="0"/>
        <w:jc w:val="center"/>
        <w:rPr>
          <w:rFonts w:asciiTheme="minorEastAsia" w:hAnsiTheme="minorEastAsia"/>
          <w:b/>
          <w:sz w:val="28"/>
        </w:rPr>
      </w:pPr>
      <w:r w:rsidRPr="00247F98">
        <w:rPr>
          <w:rFonts w:asciiTheme="minorEastAsia" w:hAnsiTheme="minorEastAsia" w:hint="eastAsia"/>
          <w:b/>
          <w:sz w:val="28"/>
        </w:rPr>
        <w:t>附  则</w:t>
      </w:r>
    </w:p>
    <w:p w:rsidR="00247F98" w:rsidRDefault="00247F98" w:rsidP="00857042">
      <w:pPr>
        <w:pStyle w:val="a3"/>
        <w:numPr>
          <w:ilvl w:val="0"/>
          <w:numId w:val="2"/>
        </w:numPr>
        <w:spacing w:line="700" w:lineRule="exact"/>
        <w:ind w:left="0" w:firstLineChars="0" w:firstLine="0"/>
        <w:rPr>
          <w:rFonts w:asciiTheme="minorEastAsia" w:hAnsiTheme="minorEastAsia"/>
          <w:sz w:val="28"/>
        </w:rPr>
      </w:pPr>
      <w:r w:rsidRPr="00247F98">
        <w:rPr>
          <w:rFonts w:asciiTheme="minorEastAsia" w:hAnsiTheme="minorEastAsia"/>
          <w:sz w:val="28"/>
        </w:rPr>
        <w:t>本办法</w:t>
      </w:r>
      <w:r>
        <w:rPr>
          <w:rFonts w:asciiTheme="minorEastAsia" w:hAnsiTheme="minorEastAsia" w:hint="eastAsia"/>
          <w:sz w:val="28"/>
        </w:rPr>
        <w:t>最终解释权归</w:t>
      </w:r>
      <w:r w:rsidRPr="00247F98">
        <w:rPr>
          <w:rFonts w:asciiTheme="minorEastAsia" w:hAnsiTheme="minorEastAsia" w:hint="eastAsia"/>
          <w:sz w:val="28"/>
        </w:rPr>
        <w:t>肿瘤免疫病理学教育部重点实验室</w:t>
      </w:r>
      <w:r w:rsidRPr="00247F98">
        <w:rPr>
          <w:rFonts w:asciiTheme="minorEastAsia" w:hAnsiTheme="minorEastAsia"/>
          <w:sz w:val="28"/>
        </w:rPr>
        <w:t>。</w:t>
      </w:r>
    </w:p>
    <w:p w:rsidR="000B57D3" w:rsidRPr="00247F98" w:rsidRDefault="000B57D3" w:rsidP="00857042">
      <w:pPr>
        <w:pStyle w:val="a3"/>
        <w:spacing w:line="700" w:lineRule="exact"/>
        <w:ind w:firstLineChars="0" w:firstLine="0"/>
        <w:rPr>
          <w:rFonts w:asciiTheme="minorEastAsia" w:hAnsiTheme="minorEastAsia"/>
          <w:sz w:val="28"/>
        </w:rPr>
      </w:pPr>
    </w:p>
    <w:sectPr w:rsidR="000B57D3" w:rsidRPr="00247F98" w:rsidSect="00857042">
      <w:footerReference w:type="default" r:id="rId8"/>
      <w:pgSz w:w="11906" w:h="16838"/>
      <w:pgMar w:top="1701" w:right="1797" w:bottom="184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1E" w:rsidRDefault="00427F1E" w:rsidP="007B71E0">
      <w:r>
        <w:separator/>
      </w:r>
    </w:p>
  </w:endnote>
  <w:endnote w:type="continuationSeparator" w:id="0">
    <w:p w:rsidR="00427F1E" w:rsidRDefault="00427F1E" w:rsidP="007B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E0" w:rsidRDefault="00427F1E">
    <w:pPr>
      <w:pStyle w:val="a5"/>
      <w:jc w:val="center"/>
    </w:pPr>
    <w:sdt>
      <w:sdtPr>
        <w:id w:val="-252049978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7B71E0">
              <w:rPr>
                <w:lang w:val="zh-CN"/>
              </w:rPr>
              <w:t xml:space="preserve"> </w:t>
            </w:r>
            <w:r w:rsidR="007B71E0">
              <w:rPr>
                <w:b/>
                <w:bCs/>
                <w:sz w:val="24"/>
                <w:szCs w:val="24"/>
              </w:rPr>
              <w:fldChar w:fldCharType="begin"/>
            </w:r>
            <w:r w:rsidR="007B71E0">
              <w:rPr>
                <w:b/>
                <w:bCs/>
              </w:rPr>
              <w:instrText>PAGE</w:instrText>
            </w:r>
            <w:r w:rsidR="007B71E0">
              <w:rPr>
                <w:b/>
                <w:bCs/>
                <w:sz w:val="24"/>
                <w:szCs w:val="24"/>
              </w:rPr>
              <w:fldChar w:fldCharType="separate"/>
            </w:r>
            <w:r w:rsidR="00490317">
              <w:rPr>
                <w:b/>
                <w:bCs/>
                <w:noProof/>
              </w:rPr>
              <w:t>2</w:t>
            </w:r>
            <w:r w:rsidR="007B71E0">
              <w:rPr>
                <w:b/>
                <w:bCs/>
                <w:sz w:val="24"/>
                <w:szCs w:val="24"/>
              </w:rPr>
              <w:fldChar w:fldCharType="end"/>
            </w:r>
            <w:r w:rsidR="007B71E0">
              <w:rPr>
                <w:lang w:val="zh-CN"/>
              </w:rPr>
              <w:t xml:space="preserve"> / </w:t>
            </w:r>
            <w:r w:rsidR="007B71E0">
              <w:rPr>
                <w:b/>
                <w:bCs/>
                <w:sz w:val="24"/>
                <w:szCs w:val="24"/>
              </w:rPr>
              <w:fldChar w:fldCharType="begin"/>
            </w:r>
            <w:r w:rsidR="007B71E0">
              <w:rPr>
                <w:b/>
                <w:bCs/>
              </w:rPr>
              <w:instrText>NUMPAGES</w:instrText>
            </w:r>
            <w:r w:rsidR="007B71E0">
              <w:rPr>
                <w:b/>
                <w:bCs/>
                <w:sz w:val="24"/>
                <w:szCs w:val="24"/>
              </w:rPr>
              <w:fldChar w:fldCharType="separate"/>
            </w:r>
            <w:r w:rsidR="00490317">
              <w:rPr>
                <w:b/>
                <w:bCs/>
                <w:noProof/>
              </w:rPr>
              <w:t>3</w:t>
            </w:r>
            <w:r w:rsidR="007B71E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B71E0" w:rsidRDefault="007B71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1E" w:rsidRDefault="00427F1E" w:rsidP="007B71E0">
      <w:r>
        <w:separator/>
      </w:r>
    </w:p>
  </w:footnote>
  <w:footnote w:type="continuationSeparator" w:id="0">
    <w:p w:rsidR="00427F1E" w:rsidRDefault="00427F1E" w:rsidP="007B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5254"/>
    <w:multiLevelType w:val="hybridMultilevel"/>
    <w:tmpl w:val="32C07EAE"/>
    <w:lvl w:ilvl="0" w:tplc="C088C892">
      <w:start w:val="1"/>
      <w:numFmt w:val="japaneseCounting"/>
      <w:lvlText w:val="第%1条"/>
      <w:lvlJc w:val="left"/>
      <w:pPr>
        <w:ind w:left="2122" w:hanging="15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53360C22"/>
    <w:multiLevelType w:val="hybridMultilevel"/>
    <w:tmpl w:val="34F2AE6E"/>
    <w:lvl w:ilvl="0" w:tplc="5CF4978A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F52216"/>
    <w:multiLevelType w:val="hybridMultilevel"/>
    <w:tmpl w:val="F8B270B6"/>
    <w:lvl w:ilvl="0" w:tplc="6170605A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EC"/>
    <w:rsid w:val="00030E45"/>
    <w:rsid w:val="000B57D3"/>
    <w:rsid w:val="00106A1C"/>
    <w:rsid w:val="00136103"/>
    <w:rsid w:val="001747F3"/>
    <w:rsid w:val="001C6A43"/>
    <w:rsid w:val="002143D1"/>
    <w:rsid w:val="00247F98"/>
    <w:rsid w:val="00346F26"/>
    <w:rsid w:val="0036358B"/>
    <w:rsid w:val="003F4DC8"/>
    <w:rsid w:val="00427F1E"/>
    <w:rsid w:val="00490317"/>
    <w:rsid w:val="004D75FD"/>
    <w:rsid w:val="004F049E"/>
    <w:rsid w:val="00524275"/>
    <w:rsid w:val="005C7A97"/>
    <w:rsid w:val="00626447"/>
    <w:rsid w:val="00631B36"/>
    <w:rsid w:val="00647B09"/>
    <w:rsid w:val="006C20C3"/>
    <w:rsid w:val="006D3363"/>
    <w:rsid w:val="007445F7"/>
    <w:rsid w:val="007B0B0E"/>
    <w:rsid w:val="007B71E0"/>
    <w:rsid w:val="007E1BC5"/>
    <w:rsid w:val="007E57BA"/>
    <w:rsid w:val="00834315"/>
    <w:rsid w:val="008503A4"/>
    <w:rsid w:val="00857042"/>
    <w:rsid w:val="008D40B0"/>
    <w:rsid w:val="00980740"/>
    <w:rsid w:val="00982DC5"/>
    <w:rsid w:val="00994916"/>
    <w:rsid w:val="009A7D12"/>
    <w:rsid w:val="009F3359"/>
    <w:rsid w:val="00A43EEC"/>
    <w:rsid w:val="00AD3212"/>
    <w:rsid w:val="00B0135A"/>
    <w:rsid w:val="00B77351"/>
    <w:rsid w:val="00BC4FEE"/>
    <w:rsid w:val="00BC5244"/>
    <w:rsid w:val="00C945E8"/>
    <w:rsid w:val="00D73A6E"/>
    <w:rsid w:val="00E57D23"/>
    <w:rsid w:val="00EB792F"/>
    <w:rsid w:val="00EC0FEF"/>
    <w:rsid w:val="00ED7B00"/>
    <w:rsid w:val="00F409B2"/>
    <w:rsid w:val="00F74FE4"/>
    <w:rsid w:val="00F830DC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E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71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71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4F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4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E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71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71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4F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4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154</Words>
  <Characters>884</Characters>
  <Application>Microsoft Office Word</Application>
  <DocSecurity>0</DocSecurity>
  <Lines>7</Lines>
  <Paragraphs>2</Paragraphs>
  <ScaleCrop>false</ScaleCrop>
  <Company>Home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26</cp:revision>
  <cp:lastPrinted>2019-06-04T09:12:00Z</cp:lastPrinted>
  <dcterms:created xsi:type="dcterms:W3CDTF">2019-05-23T03:56:00Z</dcterms:created>
  <dcterms:modified xsi:type="dcterms:W3CDTF">2021-07-10T02:06:00Z</dcterms:modified>
</cp:coreProperties>
</file>